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Handout # 7</w:t>
      </w:r>
      <w:r w:rsidDel="00000000" w:rsidR="00000000" w:rsidRPr="00000000">
        <w:rPr>
          <w:rtl w:val="0"/>
        </w:rPr>
      </w:r>
    </w:p>
    <w:tbl>
      <w:tblPr>
        <w:tblStyle w:val="Table1"/>
        <w:tblW w:w="10650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45"/>
        <w:gridCol w:w="1845"/>
        <w:gridCol w:w="1710"/>
        <w:gridCol w:w="1620"/>
        <w:gridCol w:w="1860"/>
        <w:gridCol w:w="1770"/>
        <w:tblGridChange w:id="0">
          <w:tblGrid>
            <w:gridCol w:w="1845"/>
            <w:gridCol w:w="1845"/>
            <w:gridCol w:w="1710"/>
            <w:gridCol w:w="1620"/>
            <w:gridCol w:w="1860"/>
            <w:gridCol w:w="1770"/>
          </w:tblGrid>
        </w:tblGridChange>
      </w:tblGrid>
      <w:tr>
        <w:tc>
          <w:tcPr>
            <w:gridSpan w:val="6"/>
            <w:shd w:fill="ffe599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Specially Designed Instruction Classroom Summary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Student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John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Emily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Olivia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Bethany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Jose</w:t>
            </w:r>
          </w:p>
        </w:tc>
      </w:tr>
      <w:tr>
        <w:tc>
          <w:tcPr>
            <w:shd w:fill="fff2cc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Strengths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Auditory learner-excellent memory and oral comprehension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Auditory learner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Reads above grade level;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Strong verbal skills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Strong self-efficacy; persists with hard problems 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Strong verbal skills;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Reads at grade level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Areas of Concern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Decoding deficits impacts ability to read grade level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Struggles with comprehending grade level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Hearing loss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Difficulty with multi-step directions (oral &amp; written);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Math calculation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Attention issues-easily distracted;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Disorganized;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Disorganized writing</w:t>
            </w:r>
          </w:p>
        </w:tc>
      </w:tr>
      <w:tr>
        <w:tc>
          <w:tcPr>
            <w:shd w:fill="fff2cc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Content Adaptations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Environment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Seat near front of room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Seat close to teacher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Seat near front of room; frequent small group instruction.</w:t>
            </w:r>
          </w:p>
        </w:tc>
      </w:tr>
      <w:tr>
        <w:tc>
          <w:tcPr>
            <w:shd w:fill="fff2cc" w:val="clea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Materials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Highlight key ideas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Highlight key ideas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Teacher use of amplification system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Provide multi- step problems in bulleted form.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Notes provided;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Use of graphic organizers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Assessment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Extended time up to double the time provided to other students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Tests and assignments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read aloud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Provide written directions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Chunk assignments  and tests into smaller pieces.;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Use of calculator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Short breaks every 30 minutes;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Test in small group setting</w:t>
            </w:r>
          </w:p>
        </w:tc>
      </w:tr>
      <w:tr>
        <w:tc>
          <w:tcPr>
            <w:shd w:fill="fff2cc" w:val="clea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Research-Based Instruction 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Spelling (encoding) in daily work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-orthographic mapping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Specific focus on: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-vowel teams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-vowel -r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-multisyllabic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Phonemic manipulation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Phonics - 6 syllable types reinforced with decodable texts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Directions provided in written form;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Frequent checks for understanding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Direct instruction in how to break apart a word problem;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Frequent checks for understanding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Direct instruction on procedures and daily routines;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Visual cues when off task.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43837"/>
    <w:rPr>
      <w:rFonts w:ascii="Times New Roman" w:cs="Times New Roman" w:eastAsia="Times New Roman" w:hAnsi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31542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E65F32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AvkPQi7q/M2lr/JK85lyJmC8qQ==">AMUW2mWbmOViDPBubeXewCAFauqma1N0CZMirv/4g87rLc1VPGb3w/o0vV6UIpaeWlWViFYaRYRfkTejXq3EdvVHbSrjo2wgkeJDKZYwbJN8JA4oOHsdFic=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2021-06-11T20:45:00Z</dcterms:created>
  <dc:creator>Cromwell, Connie</dc:creator>
</cp:coreProperties>
</file>